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0C" w:rsidRPr="008E6F75" w:rsidRDefault="001C2A0C" w:rsidP="001C2A0C">
      <w:pPr>
        <w:spacing w:line="288" w:lineRule="auto"/>
        <w:jc w:val="center"/>
        <w:rPr>
          <w:b/>
          <w:sz w:val="28"/>
          <w:szCs w:val="32"/>
        </w:rPr>
      </w:pPr>
      <w:r w:rsidRPr="008E6F75">
        <w:rPr>
          <w:b/>
          <w:sz w:val="28"/>
          <w:szCs w:val="32"/>
        </w:rPr>
        <w:t>НОВООДЕСЬКИЙ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ЛІЦЕЙ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№2</w:t>
      </w:r>
    </w:p>
    <w:p w:rsidR="001C2A0C" w:rsidRPr="008E6F75" w:rsidRDefault="001C2A0C" w:rsidP="001C2A0C">
      <w:pPr>
        <w:spacing w:line="288" w:lineRule="auto"/>
        <w:jc w:val="center"/>
        <w:rPr>
          <w:sz w:val="28"/>
          <w:szCs w:val="32"/>
        </w:rPr>
      </w:pPr>
      <w:r w:rsidRPr="008E6F75">
        <w:rPr>
          <w:b/>
          <w:sz w:val="28"/>
          <w:szCs w:val="32"/>
        </w:rPr>
        <w:t>НОВООДЕСЬКОЇ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МІСЬКОЇ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РАДИ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МИКОЛАЇВСЬКОЇ</w:t>
      </w:r>
      <w:r w:rsidR="002643EE">
        <w:rPr>
          <w:b/>
          <w:sz w:val="28"/>
          <w:szCs w:val="32"/>
        </w:rPr>
        <w:t xml:space="preserve"> </w:t>
      </w:r>
      <w:r w:rsidRPr="008E6F75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C2A0C" w:rsidRPr="008E6F7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1C2A0C" w:rsidRPr="008E6F75" w:rsidRDefault="001C2A0C" w:rsidP="00C62D90">
            <w:pPr>
              <w:spacing w:line="288" w:lineRule="auto"/>
              <w:jc w:val="center"/>
            </w:pPr>
          </w:p>
        </w:tc>
      </w:tr>
    </w:tbl>
    <w:p w:rsidR="001C2A0C" w:rsidRPr="008E6F75" w:rsidRDefault="001C2A0C" w:rsidP="001C2A0C">
      <w:pPr>
        <w:spacing w:after="200" w:line="288" w:lineRule="auto"/>
        <w:jc w:val="center"/>
      </w:pPr>
    </w:p>
    <w:p w:rsidR="001C2A0C" w:rsidRPr="008E6F75" w:rsidRDefault="001C2A0C" w:rsidP="001C2A0C">
      <w:pPr>
        <w:spacing w:line="288" w:lineRule="auto"/>
      </w:pPr>
      <w:r w:rsidRPr="008E6F7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202F6CE" wp14:editId="36C31C12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A0C" w:rsidRPr="008E6F75" w:rsidRDefault="001C2A0C" w:rsidP="001C2A0C">
      <w:pPr>
        <w:jc w:val="right"/>
        <w:rPr>
          <w:b/>
          <w:sz w:val="28"/>
          <w:szCs w:val="28"/>
        </w:rPr>
      </w:pPr>
    </w:p>
    <w:p w:rsidR="001C2A0C" w:rsidRPr="008E6F75" w:rsidRDefault="001C2A0C" w:rsidP="001C2A0C">
      <w:pPr>
        <w:jc w:val="right"/>
        <w:rPr>
          <w:b/>
          <w:sz w:val="28"/>
          <w:szCs w:val="28"/>
        </w:rPr>
      </w:pPr>
      <w:r w:rsidRPr="008E6F75">
        <w:rPr>
          <w:b/>
          <w:sz w:val="28"/>
          <w:szCs w:val="28"/>
        </w:rPr>
        <w:t>ЗАТВЕРДЖЕНО</w:t>
      </w:r>
    </w:p>
    <w:p w:rsidR="001C2A0C" w:rsidRPr="008E6F75" w:rsidRDefault="001C2A0C" w:rsidP="001C2A0C">
      <w:pPr>
        <w:jc w:val="right"/>
        <w:rPr>
          <w:sz w:val="28"/>
          <w:szCs w:val="28"/>
        </w:rPr>
      </w:pPr>
      <w:r w:rsidRPr="008E6F75">
        <w:rPr>
          <w:sz w:val="28"/>
          <w:szCs w:val="28"/>
        </w:rPr>
        <w:t>Наказом</w:t>
      </w:r>
      <w:r w:rsidR="002643EE">
        <w:rPr>
          <w:sz w:val="28"/>
          <w:szCs w:val="28"/>
        </w:rPr>
        <w:t xml:space="preserve"> </w:t>
      </w:r>
      <w:r w:rsidRPr="008E6F75">
        <w:rPr>
          <w:sz w:val="28"/>
          <w:szCs w:val="28"/>
        </w:rPr>
        <w:t>від</w:t>
      </w:r>
      <w:r w:rsidR="002643EE">
        <w:rPr>
          <w:sz w:val="28"/>
          <w:szCs w:val="28"/>
        </w:rPr>
        <w:t xml:space="preserve"> </w:t>
      </w:r>
      <w:r w:rsidRPr="008E6F75">
        <w:rPr>
          <w:sz w:val="28"/>
          <w:szCs w:val="28"/>
        </w:rPr>
        <w:t>30.06.2023</w:t>
      </w:r>
      <w:r w:rsidR="002643EE">
        <w:rPr>
          <w:sz w:val="28"/>
          <w:szCs w:val="28"/>
        </w:rPr>
        <w:t xml:space="preserve"> </w:t>
      </w:r>
      <w:r w:rsidRPr="008E6F75">
        <w:rPr>
          <w:sz w:val="28"/>
          <w:szCs w:val="28"/>
        </w:rPr>
        <w:t>р.</w:t>
      </w:r>
      <w:r w:rsidR="002643EE">
        <w:rPr>
          <w:sz w:val="28"/>
          <w:szCs w:val="28"/>
        </w:rPr>
        <w:t xml:space="preserve"> </w:t>
      </w:r>
      <w:r w:rsidRPr="008E6F75">
        <w:rPr>
          <w:sz w:val="28"/>
          <w:szCs w:val="28"/>
        </w:rPr>
        <w:t>№71-г</w:t>
      </w:r>
    </w:p>
    <w:p w:rsidR="001C2A0C" w:rsidRPr="008E6F75" w:rsidRDefault="001C2A0C" w:rsidP="001C2A0C">
      <w:pPr>
        <w:jc w:val="right"/>
        <w:rPr>
          <w:sz w:val="28"/>
          <w:szCs w:val="28"/>
        </w:rPr>
      </w:pPr>
    </w:p>
    <w:p w:rsidR="001C2A0C" w:rsidRPr="008E6F75" w:rsidRDefault="001C2A0C" w:rsidP="001C2A0C">
      <w:pPr>
        <w:spacing w:line="288" w:lineRule="auto"/>
        <w:jc w:val="center"/>
      </w:pPr>
    </w:p>
    <w:p w:rsidR="001C2A0C" w:rsidRPr="008E6F75" w:rsidRDefault="001C2A0C" w:rsidP="001C2A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C2A0C" w:rsidRPr="008E6F75" w:rsidRDefault="001C2A0C" w:rsidP="001C2A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C2A0C" w:rsidRPr="008E6F75" w:rsidRDefault="001C2A0C" w:rsidP="001C2A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C2A0C" w:rsidRPr="008E6F75" w:rsidRDefault="001C2A0C" w:rsidP="001C2A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1C2A0C" w:rsidRPr="008E6F75" w:rsidRDefault="001C2A0C" w:rsidP="001C2A0C"/>
    <w:p w:rsidR="001C2A0C" w:rsidRPr="008E6F75" w:rsidRDefault="001C2A0C" w:rsidP="001C2A0C">
      <w:pPr>
        <w:jc w:val="center"/>
        <w:rPr>
          <w:sz w:val="28"/>
          <w:szCs w:val="28"/>
        </w:rPr>
      </w:pPr>
    </w:p>
    <w:p w:rsidR="001C2A0C" w:rsidRPr="008E6F75" w:rsidRDefault="001C2A0C" w:rsidP="001C2A0C">
      <w:pPr>
        <w:jc w:val="center"/>
        <w:rPr>
          <w:sz w:val="28"/>
          <w:szCs w:val="28"/>
        </w:rPr>
      </w:pPr>
    </w:p>
    <w:p w:rsidR="001C2A0C" w:rsidRPr="008E6F75" w:rsidRDefault="001C2A0C" w:rsidP="001C2A0C">
      <w:pPr>
        <w:jc w:val="center"/>
        <w:rPr>
          <w:sz w:val="28"/>
          <w:szCs w:val="28"/>
        </w:rPr>
      </w:pPr>
    </w:p>
    <w:p w:rsidR="001C2A0C" w:rsidRPr="008E6F75" w:rsidRDefault="001C2A0C" w:rsidP="001C2A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8E6F75">
        <w:rPr>
          <w:b/>
          <w:sz w:val="32"/>
          <w:szCs w:val="32"/>
        </w:rPr>
        <w:t>ІНСТРУКЦІЯ</w:t>
      </w:r>
      <w:r w:rsidR="002643EE">
        <w:rPr>
          <w:b/>
          <w:sz w:val="32"/>
          <w:szCs w:val="32"/>
        </w:rPr>
        <w:t xml:space="preserve"> </w:t>
      </w:r>
      <w:r w:rsidR="005D631D" w:rsidRPr="008E6F75">
        <w:rPr>
          <w:b/>
          <w:sz w:val="32"/>
          <w:szCs w:val="32"/>
        </w:rPr>
        <w:t>№32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jc w:val="center"/>
        <w:textAlignment w:val="baseline"/>
        <w:outlineLvl w:val="1"/>
        <w:rPr>
          <w:b/>
          <w:color w:val="1E2120"/>
          <w:sz w:val="28"/>
          <w:szCs w:val="24"/>
          <w:lang w:eastAsia="ru-RU"/>
        </w:rPr>
      </w:pPr>
      <w:r w:rsidRPr="008E6F75">
        <w:rPr>
          <w:b/>
          <w:color w:val="1E2120"/>
          <w:sz w:val="28"/>
          <w:szCs w:val="24"/>
          <w:lang w:eastAsia="ru-RU"/>
        </w:rPr>
        <w:t>З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ОХОРОНИ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ПРАЦІ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jc w:val="center"/>
        <w:textAlignment w:val="baseline"/>
        <w:outlineLvl w:val="1"/>
        <w:rPr>
          <w:b/>
          <w:color w:val="1E2120"/>
          <w:sz w:val="28"/>
          <w:szCs w:val="24"/>
          <w:lang w:eastAsia="ru-RU"/>
        </w:rPr>
      </w:pPr>
      <w:r w:rsidRPr="008E6F75">
        <w:rPr>
          <w:b/>
          <w:color w:val="1E2120"/>
          <w:sz w:val="28"/>
          <w:szCs w:val="24"/>
          <w:lang w:eastAsia="ru-RU"/>
        </w:rPr>
        <w:t>ДЛЯ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РОБІТНИКА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З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КОМПЛЕКСНОГО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ОБСЛУГОВУВАННЯ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І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РЕМОНТУ</w:t>
      </w:r>
      <w:r w:rsidR="002643EE">
        <w:rPr>
          <w:b/>
          <w:color w:val="1E2120"/>
          <w:sz w:val="28"/>
          <w:szCs w:val="24"/>
          <w:lang w:eastAsia="ru-RU"/>
        </w:rPr>
        <w:t xml:space="preserve"> </w:t>
      </w:r>
      <w:r w:rsidRPr="008E6F75">
        <w:rPr>
          <w:b/>
          <w:color w:val="1E2120"/>
          <w:sz w:val="28"/>
          <w:szCs w:val="24"/>
          <w:lang w:eastAsia="ru-RU"/>
        </w:rPr>
        <w:t>БУДІВЕЛЬ</w:t>
      </w:r>
    </w:p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/>
    <w:p w:rsidR="001C2A0C" w:rsidRPr="008E6F75" w:rsidRDefault="001C2A0C" w:rsidP="001C2A0C">
      <w:pPr>
        <w:tabs>
          <w:tab w:val="left" w:pos="3915"/>
        </w:tabs>
        <w:rPr>
          <w:sz w:val="28"/>
          <w:szCs w:val="28"/>
        </w:rPr>
      </w:pPr>
    </w:p>
    <w:p w:rsidR="001C2A0C" w:rsidRPr="008E6F75" w:rsidRDefault="001C2A0C" w:rsidP="001C2A0C">
      <w:pPr>
        <w:tabs>
          <w:tab w:val="left" w:pos="3915"/>
        </w:tabs>
        <w:rPr>
          <w:sz w:val="28"/>
          <w:szCs w:val="28"/>
        </w:rPr>
      </w:pPr>
    </w:p>
    <w:p w:rsidR="001C2A0C" w:rsidRPr="008E6F75" w:rsidRDefault="001C2A0C" w:rsidP="001C2A0C">
      <w:pPr>
        <w:pStyle w:val="a3"/>
        <w:spacing w:before="85"/>
        <w:rPr>
          <w:spacing w:val="-11"/>
          <w:sz w:val="28"/>
          <w:szCs w:val="28"/>
        </w:rPr>
      </w:pPr>
      <w:r w:rsidRPr="008E6F7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8B334" wp14:editId="2C9FDBD6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E41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8E6F75">
        <w:rPr>
          <w:spacing w:val="-11"/>
          <w:sz w:val="28"/>
          <w:szCs w:val="28"/>
        </w:rPr>
        <w:t>Нова</w:t>
      </w:r>
      <w:r w:rsidR="002643EE">
        <w:rPr>
          <w:spacing w:val="-11"/>
          <w:sz w:val="28"/>
          <w:szCs w:val="28"/>
        </w:rPr>
        <w:t xml:space="preserve"> </w:t>
      </w:r>
      <w:r w:rsidRPr="008E6F75">
        <w:rPr>
          <w:spacing w:val="-11"/>
          <w:sz w:val="28"/>
          <w:szCs w:val="28"/>
        </w:rPr>
        <w:t>Одеса,</w:t>
      </w:r>
      <w:r w:rsidR="002643EE">
        <w:rPr>
          <w:spacing w:val="-11"/>
          <w:sz w:val="28"/>
          <w:szCs w:val="28"/>
        </w:rPr>
        <w:t xml:space="preserve"> </w:t>
      </w:r>
      <w:r w:rsidR="008E6F75">
        <w:rPr>
          <w:spacing w:val="-11"/>
          <w:sz w:val="28"/>
          <w:szCs w:val="28"/>
        </w:rPr>
        <w:t>2023р</w:t>
      </w:r>
    </w:p>
    <w:p w:rsidR="001C2A0C" w:rsidRPr="008E6F75" w:rsidRDefault="001C2A0C">
      <w:pPr>
        <w:widowControl/>
        <w:autoSpaceDE/>
        <w:autoSpaceDN/>
        <w:spacing w:after="160" w:line="259" w:lineRule="auto"/>
      </w:pPr>
      <w:r w:rsidRPr="008E6F75">
        <w:br w:type="page"/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center"/>
        <w:textAlignment w:val="baseline"/>
        <w:outlineLvl w:val="1"/>
        <w:rPr>
          <w:b/>
          <w:color w:val="1E2120"/>
          <w:sz w:val="24"/>
          <w:szCs w:val="24"/>
          <w:lang w:eastAsia="ru-RU"/>
        </w:rPr>
      </w:pPr>
      <w:r w:rsidRPr="008E6F75">
        <w:rPr>
          <w:b/>
          <w:color w:val="1E2120"/>
          <w:sz w:val="24"/>
          <w:szCs w:val="24"/>
          <w:lang w:eastAsia="ru-RU"/>
        </w:rPr>
        <w:lastRenderedPageBreak/>
        <w:t>Інструкція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="005D631D" w:rsidRPr="008E6F75">
        <w:rPr>
          <w:b/>
          <w:color w:val="1E2120"/>
          <w:sz w:val="24"/>
          <w:szCs w:val="24"/>
          <w:lang w:val="ru-RU" w:eastAsia="ru-RU"/>
        </w:rPr>
        <w:t>№32</w:t>
      </w:r>
      <w:r w:rsidR="002643EE">
        <w:rPr>
          <w:b/>
          <w:color w:val="1E2120"/>
          <w:sz w:val="24"/>
          <w:szCs w:val="24"/>
          <w:lang w:val="ru-RU"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з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охорони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праці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center"/>
        <w:textAlignment w:val="baseline"/>
        <w:outlineLvl w:val="1"/>
        <w:rPr>
          <w:b/>
          <w:color w:val="1E2120"/>
          <w:sz w:val="24"/>
          <w:szCs w:val="24"/>
          <w:lang w:eastAsia="ru-RU"/>
        </w:rPr>
      </w:pPr>
      <w:r w:rsidRPr="008E6F75">
        <w:rPr>
          <w:b/>
          <w:color w:val="1E2120"/>
          <w:sz w:val="24"/>
          <w:szCs w:val="24"/>
          <w:lang w:eastAsia="ru-RU"/>
        </w:rPr>
        <w:t>для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робітника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з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комплексного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обслуговування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і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ремонту</w:t>
      </w:r>
      <w:r w:rsidR="002643EE">
        <w:rPr>
          <w:b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color w:val="1E2120"/>
          <w:sz w:val="24"/>
          <w:szCs w:val="24"/>
          <w:lang w:eastAsia="ru-RU"/>
        </w:rPr>
        <w:t>будівель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8E6F75">
        <w:rPr>
          <w:b/>
          <w:bCs/>
          <w:color w:val="1E2120"/>
          <w:sz w:val="24"/>
          <w:szCs w:val="24"/>
          <w:lang w:eastAsia="ru-RU"/>
        </w:rPr>
        <w:t>1.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Загальні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положення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1.1.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Інструкція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охорони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праці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для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робітника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ремонту</w:t>
      </w:r>
      <w:r w:rsidR="002643EE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будівель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розроблена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Закону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України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«Про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(Постанова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ВР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України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14.10.1992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2694-XII)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редакції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20.01.2018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основі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«Положення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розробку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праці»,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затвердженого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Наказом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Комітету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нагляду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Міністерства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соціальної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політики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України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29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січня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1998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9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редакції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01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вересня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2017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року.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1.2.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встановлює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вимоги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початком,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закінченні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виконує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обов'язки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будівель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ліцеї</w:t>
      </w:r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порядок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його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вимоги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безпеки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аварійних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ситуаціях.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1.3.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До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самостійної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роботи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робітника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поточного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ремонту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будівель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споруд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мають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допуск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особи,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які:</w:t>
      </w:r>
    </w:p>
    <w:p w:rsidR="001C2A0C" w:rsidRPr="008E6F75" w:rsidRDefault="001C2A0C" w:rsidP="001C2A0C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досягли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18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років,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пройшли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обов'язковий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періодичний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медичний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огляд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відсутності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медичних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протипоказань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самостійної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будівлі;</w:t>
      </w:r>
    </w:p>
    <w:p w:rsidR="001C2A0C" w:rsidRPr="008E6F75" w:rsidRDefault="001C2A0C" w:rsidP="001C2A0C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пройшли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навчання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безпечним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прийомам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методам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встановленою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програмою,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вимог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праці;</w:t>
      </w:r>
    </w:p>
    <w:p w:rsidR="001C2A0C" w:rsidRPr="008E6F75" w:rsidRDefault="001C2A0C" w:rsidP="001C2A0C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пройшли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вступний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первинний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інструктажі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1.4.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Шкідливими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небезпечними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чинниками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під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час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роботи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робітника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будівлі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є: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фізичні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фактори: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різні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машин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механізмів,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знаходяться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русі;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висока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напруга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мережі;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скло;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загострені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кромки,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задирки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поверхнях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заготовок,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пристроїв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обладнання;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гострі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ріжучі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інструменти;</w:t>
      </w:r>
    </w:p>
    <w:p w:rsidR="001C2A0C" w:rsidRPr="008E6F75" w:rsidRDefault="001C2A0C" w:rsidP="001C2A0C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високі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температури.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хімічні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фактори:</w:t>
      </w:r>
    </w:p>
    <w:p w:rsidR="001C2A0C" w:rsidRPr="008E6F75" w:rsidRDefault="001C2A0C" w:rsidP="001C2A0C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забруднення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навколишнього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повітря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пилом;</w:t>
      </w:r>
    </w:p>
    <w:p w:rsidR="001C2A0C" w:rsidRPr="008E6F75" w:rsidRDefault="001C2A0C" w:rsidP="001C2A0C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шкідливі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гази.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1.5.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поточного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ремонту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будівель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споруд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зобов'язаний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використовувати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наступний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спецодяг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засоби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індивідуального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захисту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(відповідно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до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наказу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Міністерства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надзвичайних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ситуацій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України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від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10.12.2012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1389):</w:t>
      </w:r>
    </w:p>
    <w:p w:rsidR="001C2A0C" w:rsidRPr="008E6F75" w:rsidRDefault="001C2A0C" w:rsidP="001C2A0C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костюм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бавовняний;</w:t>
      </w:r>
    </w:p>
    <w:p w:rsidR="001C2A0C" w:rsidRPr="008E6F75" w:rsidRDefault="001C2A0C" w:rsidP="001C2A0C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черевики;</w:t>
      </w:r>
    </w:p>
    <w:p w:rsidR="001C2A0C" w:rsidRPr="008E6F75" w:rsidRDefault="001C2A0C" w:rsidP="001C2A0C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рукавиці;</w:t>
      </w:r>
    </w:p>
    <w:p w:rsidR="001C2A0C" w:rsidRPr="008E6F75" w:rsidRDefault="001C2A0C" w:rsidP="001C2A0C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взимку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додатково: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куртка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утеплена,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штани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утеплені,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шапка,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чоботи,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рукавиці.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1.6.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виявлені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несправності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сантехнічного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устаткування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своєчасно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інформувати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643EE">
        <w:rPr>
          <w:color w:val="100E0E"/>
          <w:sz w:val="24"/>
          <w:szCs w:val="24"/>
          <w:lang w:eastAsia="ru-RU"/>
        </w:rPr>
        <w:t xml:space="preserve">завідуючого господарством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відсутності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-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чергового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адміністратора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загальноосвітнього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внести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запис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журнал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заявок.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1.7.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будівель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споруд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дотримуватися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правил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пожежної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безпеки,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вміти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швидко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знаходити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розташування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первинних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засобів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пожежогасіння.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1.8.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дотримуватися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правил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вимог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цієї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інструкції,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правил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носіння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спецодягу,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користування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засобами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індивідуального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lastRenderedPageBreak/>
        <w:t>колективного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захисту,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дотримуватися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правил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особистої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гігієни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тримати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чистоті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1.9.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Співробітник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знаходження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медичної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аптечки,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призначеної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екстреного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першої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потерпілим.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1.10.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порушення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положень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будівель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персональну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відповідальність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чинного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законодавства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України.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8E6F75">
        <w:rPr>
          <w:b/>
          <w:bCs/>
          <w:color w:val="1E2120"/>
          <w:sz w:val="24"/>
          <w:szCs w:val="24"/>
          <w:lang w:eastAsia="ru-RU"/>
        </w:rPr>
        <w:t>2.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Вимоги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безпеки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перед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початком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робіт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робочим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по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ремонту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будівлі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2.1.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початком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працівникові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надіти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спецодяг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ретельну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засобів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індивідуального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захисту.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2.2.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оглянути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видалити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зайві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заважаючі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предмети,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звернути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увагу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достатність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освітлення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приміщенні,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наявність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огороджень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місць,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мають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перепади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висоті,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прорізів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т.д</w:t>
      </w:r>
      <w:proofErr w:type="spellEnd"/>
      <w:r w:rsidRPr="008E6F75">
        <w:rPr>
          <w:color w:val="100E0E"/>
          <w:sz w:val="24"/>
          <w:szCs w:val="24"/>
          <w:lang w:eastAsia="ru-RU"/>
        </w:rPr>
        <w:t>.,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наявність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огороджень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обертових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машин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механізмів.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2.3.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справність.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2.4.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здійснення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доставки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сумку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інструментальний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переносний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ящик,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перенесення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перевезення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гострі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добре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захищати.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зменшення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ризику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отримання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травми,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розміщувати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кишенях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спецодягу.</w:t>
      </w:r>
      <w:r w:rsidRPr="008E6F75">
        <w:rPr>
          <w:color w:val="100E0E"/>
          <w:sz w:val="24"/>
          <w:szCs w:val="24"/>
          <w:lang w:eastAsia="ru-RU"/>
        </w:rPr>
        <w:br/>
        <w:t>2.5.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початком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переносного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світильника,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справності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штепсельної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вилки,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належної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ізоляції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шлангового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проводу,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лампи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патрона;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переконатися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тому,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електропровід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входу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електросвітильник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повністю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захищений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стирання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перегинів,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наявності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суцільного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силікатного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сітки,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гачка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підвішування.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проведення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приміщеннях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підвищеною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небезпекою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особливо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небезпечних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приміщеннях,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напруга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електроживлення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світильника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повинна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перевищувати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42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проведення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особливо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несприятливих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умовах,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ручні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світильники,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ліхтарики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напругою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вище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12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2.6.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початком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проводяться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поблизу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електроустановок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рухомих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переконатися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тому,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небезпечних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розміщені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огородження,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електроустановки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вимкнені,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зупинено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відключено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електромережі,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пристроях,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вимикають,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розміщені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плакати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«Не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включати.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Працюють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люди».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2.7.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справності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сантехнічного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виявлення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несправностей</w:t>
      </w:r>
      <w:proofErr w:type="spellEnd"/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своєчасно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інформувати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заступника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директора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АГЧ,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тимчасової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відсутності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-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чергового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адміністратора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загальноосвітнього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обов'язковому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порядку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внести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запис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журналу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заявок.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2.8.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слід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приступати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виявлення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невідповідностей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встановленим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розділі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вимогам,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неможливості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зазначені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розділі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підготовчі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дії.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8E6F75">
        <w:rPr>
          <w:b/>
          <w:bCs/>
          <w:color w:val="1E2120"/>
          <w:sz w:val="24"/>
          <w:szCs w:val="24"/>
          <w:lang w:eastAsia="ru-RU"/>
        </w:rPr>
        <w:t>3.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Вимоги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безпеки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під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час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роботи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працівника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з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обслуговування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будівлі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3.1.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будівель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споруд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зобов'язаний: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інструмент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розташовувати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чином,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щоб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виключалася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можливість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його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скочування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падіння;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допускати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розташування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перилах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огорож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неогороджених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краях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площадки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риштувань,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будівельних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риштувань;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використовувати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окуляри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використанням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ударної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виключення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попадання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твердих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слизову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оболонку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ока;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дотримуватися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електроінструментом;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lastRenderedPageBreak/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відкручування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шурупів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гвинтів,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особливо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приіржавілого</w:t>
      </w:r>
      <w:proofErr w:type="spellEnd"/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міцно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закріплювати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взяту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лещатах,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тримати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руках;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різання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ножівки: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а)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міцно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закріплювати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лещатах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оброблювану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заготовку;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b)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належно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натягнути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пиляльне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полотно,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слабкому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надмірному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натягу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полотно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може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лопнути;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c)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кінці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різання,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послабити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тиск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ножівку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притримати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відрізану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щоб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падінні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отримати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травму;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використовувати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рукавиці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щоб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уникнути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отримання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травм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гострими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крайками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металевих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листів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різання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правки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листового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металу;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proofErr w:type="spellStart"/>
      <w:r w:rsidRPr="008E6F75">
        <w:rPr>
          <w:color w:val="100E0E"/>
          <w:sz w:val="24"/>
          <w:szCs w:val="24"/>
          <w:lang w:eastAsia="ru-RU"/>
        </w:rPr>
        <w:t>стійко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складати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зняті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устаткування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вузли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необхідності,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закріплювати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розбирання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пресових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з'єднань,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обов'язково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використовувати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знімачі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(гвинтові,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гідравлічні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т.д</w:t>
      </w:r>
      <w:proofErr w:type="spellEnd"/>
      <w:r w:rsidRPr="008E6F75">
        <w:rPr>
          <w:color w:val="100E0E"/>
          <w:sz w:val="24"/>
          <w:szCs w:val="24"/>
          <w:lang w:eastAsia="ru-RU"/>
        </w:rPr>
        <w:t>.);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промивку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деталей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гасом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тільки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тарі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строго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визначеному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цієї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(відпрацьовані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залишки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гасу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зливати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тільки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призначену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ємність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щільно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закривається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кришкою);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складання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вузлів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механізмів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перевіряти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збіг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отворів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деталях,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з’єднуються,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тільки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монтажних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оправок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(строго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заборонено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перевіряти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збіг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пальцями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висока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ймовірність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отримання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травми);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висоті,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залишати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незакріпленими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ремонтованих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трубопроводів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навіть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короткочасній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перерві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роботі;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виявленні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несправностей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устаткування,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також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небезпечній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аварійній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ситуації,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припинити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відключити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використовуване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електромережі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терміново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повідомити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заступнику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директора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АГЧ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(завгоспа);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виконувати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перенесення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стекол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вертикальному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положенні;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чистку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фальців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старих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віконних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скління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тільки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стамески;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ліквідації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масел</w:t>
      </w:r>
      <w:proofErr w:type="spellEnd"/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кислот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інших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технічних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рідин,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пролиті,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посипати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піском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тирсою,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потім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зібрати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пісок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тирсу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совка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щітки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(віники)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ретельно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промити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2%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розчином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соди;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запобігання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простудних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захворювань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уникати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протягів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відкривати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одночасно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вікна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двері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провітрювання);</w:t>
      </w:r>
    </w:p>
    <w:p w:rsidR="001C2A0C" w:rsidRPr="008E6F75" w:rsidRDefault="001C2A0C" w:rsidP="001C2A0C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виконувати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виключно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йому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доручена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проінструктований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інструкцією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техніки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безпеки.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3.2.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Під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час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виконання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роботи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робітникові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будівлі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заборонено: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порушувати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інструкцію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ремонтних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роботах;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виконувати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підйом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перенесення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важких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предметів,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вага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перевищує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встановлену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норму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(50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чоловіків);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торкатися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відкритих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струмоведучих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частин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електроустаткування,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відкривати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дверцята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розподільних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шаф,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знімати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кожухи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пускових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пристроїв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т.д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.;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викручування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гайок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болтів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подовжувати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гайкові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ключі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додатковими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важелями,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другими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ключами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трубами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винятком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ключів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типу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«зірочка»);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використання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допоміжних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важелів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різання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листового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ручними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ножицями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подовження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ручок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різка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листового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супроводжується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ударами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лезах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ручкам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ножиць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металу;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підтягування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муфтової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арматури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гайок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контрольно-вимірювальних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приладів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газових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ключів;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чистку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поверхонь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використанням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кислот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лугів;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виконувати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перенесення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незахищеними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руками;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використання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несправних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драбин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пристосованих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підставок;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lastRenderedPageBreak/>
        <w:t>виконання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нарізки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висоті;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скління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вікон,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встаючи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цьому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підвіконня,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починаючи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другого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поверху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вище;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прибирання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працюючим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безпосередній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близькості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рухомих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механізмів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устаткування;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розміщувати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електрообладнанні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нагрівальних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приладах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сторонні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предмети,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деталі;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проводити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вологе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прибирання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рубильників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інших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перемикачів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струму;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заходити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заводити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руки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огорожі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працює,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працює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момент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механізмів;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поміщати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один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ящик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ганчірки,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відходи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деревини,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паперу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промасленого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ганчір'я;</w:t>
      </w:r>
    </w:p>
    <w:p w:rsidR="001C2A0C" w:rsidRPr="008E6F75" w:rsidRDefault="001C2A0C" w:rsidP="001C2A0C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утилізувати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через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каналізаційну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систему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установи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кислоти,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луги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розчини.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8E6F75">
        <w:rPr>
          <w:b/>
          <w:bCs/>
          <w:color w:val="1E2120"/>
          <w:sz w:val="24"/>
          <w:szCs w:val="24"/>
          <w:lang w:eastAsia="ru-RU"/>
        </w:rPr>
        <w:t>4.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Вимоги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безпеки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після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завершення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роботи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працівника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з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обслуговування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будівлі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Після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закінчення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роботи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робітник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комплексного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обслуговування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будівлі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="002643EE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F75">
        <w:rPr>
          <w:color w:val="100E0E"/>
          <w:sz w:val="24"/>
          <w:szCs w:val="24"/>
          <w:bdr w:val="none" w:sz="0" w:space="0" w:color="auto" w:frame="1"/>
          <w:lang w:eastAsia="ru-RU"/>
        </w:rPr>
        <w:t>зобов'язаний:</w:t>
      </w:r>
      <w:r w:rsidRPr="008E6F75">
        <w:rPr>
          <w:color w:val="100E0E"/>
          <w:sz w:val="24"/>
          <w:szCs w:val="24"/>
          <w:lang w:eastAsia="ru-RU"/>
        </w:rPr>
        <w:br/>
        <w:t>4.1.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Привести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належний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порядок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своє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місце;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4.2.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інструменти,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пристосування,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деталі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матеріали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прибрати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відведені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місця;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4.3.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Зібрати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винести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спеціально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відведене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цього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сміття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відходи;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4.4.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Зняти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себе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спецодяг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інші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засоби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індивідуального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захисту,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акуратно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скласти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гардероб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(відведене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зберігання);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4.5.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Повідомити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несправності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зауваження,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виявлені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час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проведення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безпосереднього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керівника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proofErr w:type="spellStart"/>
      <w:r w:rsidRPr="008E6F75">
        <w:rPr>
          <w:color w:val="100E0E"/>
          <w:sz w:val="24"/>
          <w:szCs w:val="24"/>
          <w:lang w:eastAsia="ru-RU"/>
        </w:rPr>
        <w:t>внести</w:t>
      </w:r>
      <w:proofErr w:type="spellEnd"/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відповідний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запис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журналу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заявок;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4.6.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виході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приміщення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закрити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щільно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вікна,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вимкнути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освітлення,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електроприлади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розеток,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воду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припливну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вентиляцію.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8E6F75">
        <w:rPr>
          <w:b/>
          <w:bCs/>
          <w:color w:val="1E2120"/>
          <w:sz w:val="24"/>
          <w:szCs w:val="24"/>
          <w:lang w:eastAsia="ru-RU"/>
        </w:rPr>
        <w:t>5.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Вимоги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безпеки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при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виникненні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аварійних</w:t>
      </w:r>
      <w:r w:rsidR="002643EE"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8E6F75">
        <w:rPr>
          <w:b/>
          <w:bCs/>
          <w:color w:val="1E2120"/>
          <w:sz w:val="24"/>
          <w:szCs w:val="24"/>
          <w:lang w:eastAsia="ru-RU"/>
        </w:rPr>
        <w:t>ситуацій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5.1.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виникнення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аварійних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ситуацій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робочому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місці,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які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можуть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спричинити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собою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травмування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(або)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отруєння</w:t>
      </w:r>
      <w:r w:rsidR="002643EE">
        <w:rPr>
          <w:color w:val="100E0E"/>
          <w:sz w:val="24"/>
          <w:szCs w:val="24"/>
          <w:lang w:eastAsia="ru-RU"/>
        </w:rPr>
        <w:t xml:space="preserve"> здобувачів освіти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(або)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співробітників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загальноосвітнього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вжити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екстрених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заходів.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відключити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несправне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електромережі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терміново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повідомити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трапилося</w:t>
      </w:r>
      <w:r w:rsidR="002643EE">
        <w:rPr>
          <w:color w:val="100E0E"/>
          <w:sz w:val="24"/>
          <w:szCs w:val="24"/>
          <w:lang w:eastAsia="ru-RU"/>
        </w:rPr>
        <w:t xml:space="preserve"> завідуючому господарству </w:t>
      </w:r>
      <w:r w:rsidRPr="008E6F75">
        <w:rPr>
          <w:color w:val="100E0E"/>
          <w:sz w:val="24"/>
          <w:szCs w:val="24"/>
          <w:lang w:eastAsia="ru-RU"/>
        </w:rPr>
        <w:t>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фахівця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або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чергового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адміністратора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Pr="008E6F75">
        <w:rPr>
          <w:color w:val="100E0E"/>
          <w:sz w:val="24"/>
          <w:szCs w:val="24"/>
          <w:lang w:eastAsia="ru-RU"/>
        </w:rPr>
        <w:t>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таких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аварійних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ситуацій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відносяться: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замикання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електропроводки,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прорив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водопровідних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труб,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задимлення,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загорання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тощо.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5.2.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наявності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постраждалих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серед</w:t>
      </w:r>
      <w:r w:rsidR="002643EE">
        <w:rPr>
          <w:color w:val="100E0E"/>
          <w:sz w:val="24"/>
          <w:szCs w:val="24"/>
          <w:lang w:eastAsia="ru-RU"/>
        </w:rPr>
        <w:t xml:space="preserve"> здобувачів освіти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(або)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загальноосвітнього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робітник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комплексного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обслуговування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будівлі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зобов'язаний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звернутися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допомогою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лікаря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даного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навчального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надати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першу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потерпілим.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5.3.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ураженні</w:t>
      </w:r>
      <w:r w:rsidR="002643EE">
        <w:rPr>
          <w:color w:val="100E0E"/>
          <w:sz w:val="24"/>
          <w:szCs w:val="24"/>
          <w:lang w:eastAsia="ru-RU"/>
        </w:rPr>
        <w:t xml:space="preserve"> здобувачів освіти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(або)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співробітників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="00B20A48" w:rsidRPr="008E6F75">
        <w:rPr>
          <w:color w:val="100E0E"/>
          <w:sz w:val="24"/>
          <w:szCs w:val="24"/>
          <w:lang w:eastAsia="ru-RU"/>
        </w:rPr>
        <w:t>ліцею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електричним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струмом,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вжити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можливих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заходів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їх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звільненню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електричного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струму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шляхом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відключення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електроживлення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прибуття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працівника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медичної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установи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надати,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необхідності,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першу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допомогу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потерпілим.</w:t>
      </w:r>
    </w:p>
    <w:p w:rsidR="001C2A0C" w:rsidRPr="008E6F75" w:rsidRDefault="001C2A0C" w:rsidP="001C2A0C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8E6F75">
        <w:rPr>
          <w:color w:val="100E0E"/>
          <w:sz w:val="24"/>
          <w:szCs w:val="24"/>
          <w:lang w:eastAsia="ru-RU"/>
        </w:rPr>
        <w:t>5.4.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разі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виникнення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загоряння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будь-якого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обладнання,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необхідно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відключити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електроживлення,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негайно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повідомити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що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трапилося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найближче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відділення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пожежної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охорони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телефону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101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директору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загальноосвітнього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закладу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(при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відсутності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-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іншій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посадовій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особі),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після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чого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приступити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до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ліквідації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пожежі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всіма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наявними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первинними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засобами</w:t>
      </w:r>
      <w:r w:rsidR="002643EE">
        <w:rPr>
          <w:color w:val="100E0E"/>
          <w:sz w:val="24"/>
          <w:szCs w:val="24"/>
          <w:lang w:eastAsia="ru-RU"/>
        </w:rPr>
        <w:t xml:space="preserve"> </w:t>
      </w:r>
      <w:r w:rsidRPr="008E6F75">
        <w:rPr>
          <w:color w:val="100E0E"/>
          <w:sz w:val="24"/>
          <w:szCs w:val="24"/>
          <w:lang w:eastAsia="ru-RU"/>
        </w:rPr>
        <w:t>пожежогасіння.</w:t>
      </w:r>
    </w:p>
    <w:p w:rsidR="001C2A0C" w:rsidRPr="008E6F75" w:rsidRDefault="001C2A0C" w:rsidP="001C2A0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2643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b/>
          <w:sz w:val="24"/>
          <w:szCs w:val="24"/>
          <w:lang w:val="uk-UA"/>
        </w:rPr>
        <w:t>Завершальні</w:t>
      </w:r>
      <w:r w:rsidR="002643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  <w:r w:rsidR="002643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b/>
          <w:sz w:val="24"/>
          <w:szCs w:val="24"/>
          <w:lang w:val="uk-UA"/>
        </w:rPr>
        <w:t>інструкції</w:t>
      </w:r>
    </w:p>
    <w:p w:rsidR="001C2A0C" w:rsidRPr="008E6F75" w:rsidRDefault="001C2A0C" w:rsidP="001C2A0C">
      <w:pPr>
        <w:pStyle w:val="a7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Перевірка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рідше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одного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разу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1C2A0C" w:rsidRPr="008E6F75" w:rsidRDefault="001C2A0C" w:rsidP="001C2A0C">
      <w:pPr>
        <w:pStyle w:val="a7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Дана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інструкція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достроково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переглянута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випадках:</w:t>
      </w:r>
    </w:p>
    <w:p w:rsidR="001C2A0C" w:rsidRPr="008E6F75" w:rsidRDefault="001C2A0C" w:rsidP="001C2A0C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перегляді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міжгалузевих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галузевих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типових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інструкцій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техніки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безпеки;</w:t>
      </w:r>
    </w:p>
    <w:p w:rsidR="001C2A0C" w:rsidRPr="008E6F75" w:rsidRDefault="001C2A0C" w:rsidP="001C2A0C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аналізу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розслідування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аварій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нещасних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випадків;</w:t>
      </w:r>
    </w:p>
    <w:p w:rsidR="001C2A0C" w:rsidRPr="008E6F75" w:rsidRDefault="001C2A0C" w:rsidP="001C2A0C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вимогу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праці.</w:t>
      </w:r>
    </w:p>
    <w:p w:rsidR="001C2A0C" w:rsidRPr="008E6F75" w:rsidRDefault="001C2A0C" w:rsidP="001C2A0C">
      <w:pPr>
        <w:pStyle w:val="a7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років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дня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(введення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дію)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змінюються,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дія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автоматично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продовжується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1C2A0C" w:rsidRPr="008E6F75" w:rsidRDefault="001C2A0C" w:rsidP="001C2A0C">
      <w:pPr>
        <w:pStyle w:val="a7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F75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доповнень,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покладається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відповідального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охорону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співробітника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загальноосвітнього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264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F75">
        <w:rPr>
          <w:rFonts w:ascii="Times New Roman" w:hAnsi="Times New Roman" w:cs="Times New Roman"/>
          <w:sz w:val="24"/>
          <w:szCs w:val="24"/>
          <w:lang w:val="uk-UA"/>
        </w:rPr>
        <w:t>закладу.</w:t>
      </w:r>
    </w:p>
    <w:p w:rsidR="001C2A0C" w:rsidRPr="008E6F75" w:rsidRDefault="001C2A0C" w:rsidP="001C2A0C">
      <w:pPr>
        <w:jc w:val="both"/>
        <w:rPr>
          <w:sz w:val="28"/>
          <w:szCs w:val="28"/>
          <w:lang w:val="ru-RU"/>
        </w:rPr>
      </w:pPr>
      <w:r w:rsidRPr="008E6F75">
        <w:rPr>
          <w:noProof/>
          <w:lang w:val="ru-RU" w:eastAsia="ru-RU"/>
        </w:rPr>
        <w:drawing>
          <wp:inline distT="0" distB="0" distL="0" distR="0" wp14:anchorId="562811AA" wp14:editId="5A3A7E59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C" w:rsidRPr="008E6F75" w:rsidRDefault="001C2A0C" w:rsidP="001C2A0C">
      <w:pPr>
        <w:ind w:firstLine="709"/>
        <w:jc w:val="both"/>
        <w:rPr>
          <w:sz w:val="28"/>
          <w:szCs w:val="28"/>
        </w:rPr>
      </w:pPr>
    </w:p>
    <w:p w:rsidR="00C03D12" w:rsidRPr="008E6F75" w:rsidRDefault="00C03D12"/>
    <w:sectPr w:rsidR="00C03D12" w:rsidRPr="008E6F75" w:rsidSect="008E6F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38B"/>
    <w:multiLevelType w:val="multilevel"/>
    <w:tmpl w:val="2F2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47DF0"/>
    <w:multiLevelType w:val="multilevel"/>
    <w:tmpl w:val="43C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87AFE"/>
    <w:multiLevelType w:val="multilevel"/>
    <w:tmpl w:val="525A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FE62C63"/>
    <w:multiLevelType w:val="multilevel"/>
    <w:tmpl w:val="15F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4257AA2"/>
    <w:multiLevelType w:val="multilevel"/>
    <w:tmpl w:val="CC0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3D4C4F"/>
    <w:multiLevelType w:val="multilevel"/>
    <w:tmpl w:val="74F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12"/>
    <w:rsid w:val="001C2A0C"/>
    <w:rsid w:val="002643EE"/>
    <w:rsid w:val="005D631D"/>
    <w:rsid w:val="008E6F75"/>
    <w:rsid w:val="00B20A48"/>
    <w:rsid w:val="00C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0343-9729-4DB7-B719-C4453C6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2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C2A0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1C2A0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C2A0C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1C2A0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C2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C2A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C2A0C"/>
    <w:rPr>
      <w:b/>
      <w:bCs/>
    </w:rPr>
  </w:style>
  <w:style w:type="paragraph" w:styleId="a7">
    <w:name w:val="List Paragraph"/>
    <w:basedOn w:val="a"/>
    <w:uiPriority w:val="1"/>
    <w:qFormat/>
    <w:rsid w:val="001C2A0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C2A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A0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2024-02-11T13:54:00Z</cp:lastPrinted>
  <dcterms:created xsi:type="dcterms:W3CDTF">2024-02-10T11:46:00Z</dcterms:created>
  <dcterms:modified xsi:type="dcterms:W3CDTF">2024-02-12T19:43:00Z</dcterms:modified>
</cp:coreProperties>
</file>