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b/>
          <w:sz w:val="90"/>
          <w:szCs w:val="90"/>
        </w:rPr>
      </w:pPr>
      <w:r>
        <w:rPr/>
      </w:r>
    </w:p>
    <w:p>
      <w:pPr>
        <w:pStyle w:val="Normal"/>
        <w:spacing w:lineRule="auto" w:line="240" w:before="240" w:after="240"/>
        <w:jc w:val="center"/>
        <w:rPr/>
      </w:pPr>
      <w:r>
        <w:rPr>
          <w:rFonts w:eastAsia="Times New Roman" w:cs="Times New Roman" w:ascii="Times New Roman" w:hAnsi="Times New Roman"/>
          <w:b/>
          <w:sz w:val="66"/>
          <w:szCs w:val="66"/>
          <w:lang w:val="uk-UA"/>
        </w:rPr>
        <w:t>К</w:t>
      </w:r>
      <w:r>
        <w:rPr>
          <w:rFonts w:eastAsia="Times New Roman" w:cs="Times New Roman" w:ascii="Times New Roman" w:hAnsi="Times New Roman"/>
          <w:b/>
          <w:sz w:val="66"/>
          <w:szCs w:val="66"/>
        </w:rPr>
        <w:t>ритерії оцінювання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b/>
          <w:sz w:val="66"/>
          <w:szCs w:val="66"/>
        </w:rPr>
      </w:pPr>
      <w:r>
        <w:rPr>
          <w:rFonts w:eastAsia="Times New Roman" w:cs="Times New Roman" w:ascii="Times New Roman" w:hAnsi="Times New Roman"/>
          <w:b/>
          <w:sz w:val="66"/>
          <w:szCs w:val="66"/>
        </w:rPr>
        <w:t>навчальних досягнень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b/>
          <w:sz w:val="66"/>
          <w:szCs w:val="66"/>
        </w:rPr>
      </w:pPr>
      <w:r>
        <w:rPr>
          <w:rFonts w:eastAsia="Times New Roman" w:cs="Times New Roman" w:ascii="Times New Roman" w:hAnsi="Times New Roman"/>
          <w:b/>
          <w:sz w:val="66"/>
          <w:szCs w:val="66"/>
        </w:rPr>
        <w:t>учнів з математики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b/>
          <w:sz w:val="66"/>
          <w:szCs w:val="66"/>
        </w:rPr>
      </w:pPr>
      <w:r>
        <w:rPr>
          <w:rFonts w:eastAsia="Times New Roman" w:cs="Times New Roman" w:ascii="Times New Roman" w:hAnsi="Times New Roman"/>
          <w:b/>
          <w:sz w:val="66"/>
          <w:szCs w:val="66"/>
        </w:rPr>
        <w:t>(5-6 класи)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b/>
          <w:sz w:val="66"/>
          <w:szCs w:val="66"/>
        </w:rPr>
      </w:pPr>
      <w:r>
        <w:rPr>
          <w:rFonts w:eastAsia="Times New Roman" w:cs="Times New Roman" w:ascii="Times New Roman" w:hAnsi="Times New Roman"/>
          <w:b/>
          <w:sz w:val="66"/>
          <w:szCs w:val="66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МАТЕМАТИКА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5-6 класи</w:t>
      </w:r>
    </w:p>
    <w:p>
      <w:pPr>
        <w:pStyle w:val="Normal"/>
        <w:spacing w:lineRule="auto" w:line="240"/>
        <w:ind w:right="0" w:hanging="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Оцінювання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об'єктивних результатів навчання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учнів 5-6 класів з математики здійснюється у процесі розв’язання  навчальних завдань на виявлення стану сформованості навичок читання, запису і порівняння чисел, обчислювальних навичок, навичок читання і запису математичних виразів/ рівностей/нерівностей, розв'язування рівнянь, уміння розв'язувати задачі, розпізнавання й побудову геометричних фігур, оперування величинами.</w:t>
      </w:r>
    </w:p>
    <w:p>
      <w:pPr>
        <w:pStyle w:val="Normal"/>
        <w:spacing w:lineRule="auto" w:line="240"/>
        <w:ind w:right="0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Залежно від дидактичної мети  та з урахуванням етапу опанування програмовим матеріалом  у цілому й етапу опанування очікуваним результатом навчання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оцінювання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може здійснюватись під час різних видів навчально-пізнавальної діяльності , яка може бути усною та письмовою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.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br/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Критерії  оцінювання усних відповідей учня/учениці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Table1"/>
        <w:tblW w:w="9775" w:type="dxa"/>
        <w:jc w:val="left"/>
        <w:tblInd w:w="-4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  <w:tblLook w:val="0000"/>
      </w:tblPr>
      <w:tblGrid>
        <w:gridCol w:w="2739"/>
        <w:gridCol w:w="7035"/>
      </w:tblGrid>
      <w:tr>
        <w:trPr>
          <w:trHeight w:val="1222" w:hRule="atLeast"/>
        </w:trPr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Рівнева оцінка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об’єктивних результатів навчання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учня/учениці</w:t>
            </w:r>
          </w:p>
        </w:tc>
        <w:tc>
          <w:tcPr>
            <w:tcW w:w="7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Характеристика рівня результатів навчання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учня/учениці</w:t>
            </w:r>
          </w:p>
        </w:tc>
      </w:tr>
      <w:tr>
        <w:trPr>
          <w:trHeight w:val="3920" w:hRule="atLeast"/>
          <w:cantSplit w:val="true"/>
        </w:trPr>
        <w:tc>
          <w:tcPr>
            <w:tcW w:w="2739" w:type="dxa"/>
            <w:tcBorders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«початковий» (П)</w:t>
            </w:r>
          </w:p>
        </w:tc>
        <w:tc>
          <w:tcPr>
            <w:tcW w:w="7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Учень/учениця: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72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розпізнає, називає, розрізняє математичні об’єкти, подані в готовому вигляді (дії, правила, окремі геометричні форми в довкіллі), об’єкти вивчення (математичні поняття за їх ознаками, формули, математичні  операції, моделі задач);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72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виконує елементарні математичні операції після детального кількаразового їх пояснення вчителем на рівні копіювання зразка виконання та за допомогою вчителя;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72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констатує за підказкою правильність/  неправильність результату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037" w:hRule="atLeast"/>
          <w:cantSplit w:val="true"/>
        </w:trPr>
        <w:tc>
          <w:tcPr>
            <w:tcW w:w="2739" w:type="dxa"/>
            <w:tcBorders>
              <w:top w:val="single" w:sz="4" w:space="0" w:color="000001"/>
              <w:left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«середній» (С)</w:t>
            </w:r>
          </w:p>
        </w:tc>
        <w:tc>
          <w:tcPr>
            <w:tcW w:w="7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Учень/учениця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дій: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72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розрізняє окремі об’єкти вивчення (математичні поняття за їх ознаками, формули, математичні операції, моделі задач) ;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72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виконує найпростіші математичні операції на рівні копіювання зразка виконання після детального кількаразового їх пояснення вчителем;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72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відтворює навчальну інформацію у засвоєній послідовності, за допомоги вчителя формулює правила, закони й залежності, ілюструє їх прикладами;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72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частково коментує способи виконання математичних операцій</w:t>
            </w:r>
          </w:p>
        </w:tc>
      </w:tr>
      <w:tr>
        <w:trPr>
          <w:trHeight w:val="643" w:hRule="atLeast"/>
        </w:trPr>
        <w:tc>
          <w:tcPr>
            <w:tcW w:w="2739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«достатній» (Д)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Учень/учениця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94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виділяє суттєві ознаки математичних понять, ілюструє їх прикладами, формулює прості висновки;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94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застосовує знання й уміння під час виконання математичних завдань за знайомим алгоритмом 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94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частково або детально пояснює свої дії;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94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самостійно виконує математичні операції;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94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усвідомлено відтворює навчальний зміст, ілюструє відповіді прикладами з реального життя;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94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виконує завдання, які потребують значної самостійності;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94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виправляє помилки, на які вказує вчитель </w:t>
            </w:r>
          </w:p>
        </w:tc>
      </w:tr>
      <w:tr>
        <w:trPr>
          <w:trHeight w:val="643" w:hRule="atLeast"/>
          <w:cantSplit w:val="true"/>
        </w:trPr>
        <w:tc>
          <w:tcPr>
            <w:tcW w:w="2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«високий» (В)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Учень/учениця виконує навчальні завдання на продуктивно-творчому рівні реалізації навчальної діяльності у змінених з певним ускладненням навчальних ситуаціях за допомогою таких навчальних дій: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79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вільно володіє програмовим матеріалом, демонструє гнучкі знання, виявляє системність знань і способів математичної діяльності;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79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встановлює міжпонятійні зв'язки, комбінує елементи навчальної інформації і способи діяльності для одержання іншого шляху виконання математичних завдань, використовує набутий досвід у змінених навчальних умовах і життєвих ситуаціях;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79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аналізує способи виконання математичних операцій, будує алгоритми виконання математичних завдань;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79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демонструє нестандартний підхід до розв'язування навчальних і практично зорієнтованих задач;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79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знаходить і виправляє власні помилки,  володіє навичками самоконтролю, об’єктивно оцінює свою роботу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При виконанні письмових  робіт:</w:t>
      </w:r>
    </w:p>
    <w:tbl>
      <w:tblPr>
        <w:tblStyle w:val="Table2"/>
        <w:tblW w:w="10215" w:type="dxa"/>
        <w:jc w:val="left"/>
        <w:tblInd w:w="-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694"/>
        <w:gridCol w:w="1111"/>
        <w:gridCol w:w="7410"/>
      </w:tblGrid>
      <w:tr>
        <w:trPr>
          <w:trHeight w:val="1025" w:hRule="atLeast"/>
        </w:trPr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Рівень навчальних досягнень</w:t>
            </w:r>
          </w:p>
        </w:tc>
        <w:tc>
          <w:tcPr>
            <w:tcW w:w="111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74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Характеристика навчальних досягнень учнів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16" w:before="12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Початковий</w:t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Робота виконується, але допущено 11 і більше помилок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continue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Правильно ви виконано 1/3 роботи, або допущено 9-10 помилок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continue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Правильно ви виконано 1/3 роботи, або допущено 8-9 помилок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16" w:before="12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Правильно ви виконано 2/5 роботи, або допущено 6-7 помилок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continue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Правильно ви виконано половину роботи, або допущено 5 грубих помилок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continue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Правильно ви виконано 3/5 роботи, або допущено 4 грубі помилки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16" w:before="12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Достатній</w:t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Правильно ви виконано 2/3 роботи, або допущено 3 грубі помилки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continue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Правильно ви виконано 3/4 роботи, або допущено 2 грубі помилки</w:t>
            </w:r>
          </w:p>
        </w:tc>
      </w:tr>
      <w:tr>
        <w:trPr>
          <w:trHeight w:val="1100" w:hRule="atLeast"/>
        </w:trPr>
        <w:tc>
          <w:tcPr>
            <w:tcW w:w="1694" w:type="dxa"/>
            <w:vMerge w:val="continue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Робота виконана в повному обсязі, але допущено 1 грубу й</w:t>
            </w:r>
          </w:p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 негрубу помилки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16" w:before="12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Робота виконана в повному обсязі, але допущено 1-2 негрубі помилки</w:t>
            </w:r>
          </w:p>
        </w:tc>
      </w:tr>
      <w:tr>
        <w:trPr>
          <w:trHeight w:val="770" w:hRule="atLeast"/>
        </w:trPr>
        <w:tc>
          <w:tcPr>
            <w:tcW w:w="1694" w:type="dxa"/>
            <w:vMerge w:val="continue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Робота виконана правильно в повному обсязі, окрім завдання підвищеної складності або творчого рівня</w:t>
            </w:r>
          </w:p>
        </w:tc>
      </w:tr>
      <w:tr>
        <w:trPr>
          <w:trHeight w:val="860" w:hRule="atLeast"/>
        </w:trPr>
        <w:tc>
          <w:tcPr>
            <w:tcW w:w="1694" w:type="dxa"/>
            <w:vMerge w:val="continue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41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16" w:before="24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Робота виконана правильно в повному обсязі, в тому числі завдання підвищеної складності або творчого рівня</w:t>
            </w:r>
          </w:p>
        </w:tc>
      </w:tr>
    </w:tbl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  <w:t xml:space="preserve"> </w:t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До грубих помилок належить: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обчислювальні помилки в завданнях, які суттєво спотворюють кінцевий результат завдання;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помилки у визначенні порядку виконання арифметичних дій;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неправильне розв’язування задачі (пропуск дій (дії), неправильний добір дій (дії), зайві дії);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незакінчене розв’язання задачі чи прикладу;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невиконане завдання (не приступив до його виконання);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неправильне застосування властивостей, правил, алгоритмів, існуючих залежностей, які лежать в основі завдань чи використовуються в ході їх виконання;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невідповідність пояснювального тексту, відповіді завдання, назви величин виконаним діям та отриманим результатам;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невідповідність виконаних вимірювань та геометричних побудов даним параметрам завдання.</w:t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Негрубими помилками є: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нераціональні прийоми обчислення, якщо ставилась вимога скористатися такими прийомами;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неправильна побудова чи постановка запитань до дій (дії) під час розв’язання задачі;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неправильне чи неграмотне з точки зору стилістики або за змістом формулювання відповіді задачі;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неправильне списування даних (чисел, знаків) задачі з правильним її розв’язанням;</w:t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sz w:val="24"/>
          <w:szCs w:val="24"/>
        </w:rPr>
        <w:t>·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не закінчене (не доведене) до логічного кінця перетворення.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20" w:leader="none"/>
        </w:tabs>
        <w:spacing w:lineRule="auto" w:line="240"/>
        <w:ind w:firstLine="737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shd w:val="clear" w:fill="FFFFFF"/>
        <w:tabs>
          <w:tab w:val="left" w:pos="1134" w:leader="none"/>
        </w:tabs>
        <w:spacing w:lineRule="auto" w:line="24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tabs>
          <w:tab w:val="left" w:pos="1134" w:leader="none"/>
        </w:tabs>
        <w:spacing w:lineRule="auto" w:line="24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/>
        <w:ind w:firstLine="708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Під час виконання письмових робіт учень/учениця повинні дотримуватись культури записів виконаних завдань. Якщо учень (учениця) самостійно знаходить і охайно виправляє допущену помилку, то це не вважається недоліком роботи.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За результатами опанування певної програмової теми/частини теми/кількох тем протягом навчального року проводяться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тематичні діагностувальні роботи.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Тематична діагностувальна робота може містити систему навчальних завдань, що передбачають різні рівні реалізації навчальної діяльності (розпізнавання об'єкта вивчення, репродуктивний, продуктивний, продуктивно-творчий). Тематичні діагностувальні роботи можуть бути комбінованими, у тому числі з тестових завдань закритого й відкритого типів. Також діагностувальні роботи можуть передбачати перевірку одного із результатів навчання. Результатами оцінювання тематичних діагностувальних робіт є рівнева оцінка кожного з  результатів навчання. За результатами виконання навчальних завдань можна одержати об'єктивну інформацію про досягнення очікуваних результатів опанування програмовим матеріалом.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/>
        <w:ind w:firstLine="708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Оцінювання тематичної діагностувальної роботи з математики</w:t>
      </w:r>
    </w:p>
    <w:tbl>
      <w:tblPr>
        <w:tblStyle w:val="Table3"/>
        <w:tblW w:w="9190" w:type="dxa"/>
        <w:jc w:val="left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16"/>
        <w:gridCol w:w="4394"/>
        <w:gridCol w:w="2268"/>
        <w:gridCol w:w="1711"/>
      </w:tblGrid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Характеристика результатів навчання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Рівень Реалізації Навчальної діяльності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Рівень результатівнавчання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Розпізнавання об'єкта вивчення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П,С,Д,В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Володіє навичками додавання і віднімання, множення і ділення чисел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Розпізнавання об'єкта вивчення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П,С, Д, В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Читає і записує математичні вирази, у тому числі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Розпізнавання об'єкта вивчення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П,С,Д,В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Розпізнавання об'єкта вивчення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П,С,Д,В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Розпізнавання об'єкта вивчення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П,С,Д,В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Розпізнавання об'єкта вивчення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Продуктивний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П,С,Д,В</w:t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ind w:left="9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Критерії оцінювання моделей геометричних фігур</w:t>
      </w:r>
    </w:p>
    <w:tbl>
      <w:tblPr>
        <w:tblStyle w:val="Table4"/>
        <w:tblW w:w="9360" w:type="dxa"/>
        <w:jc w:val="left"/>
        <w:tblInd w:w="-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6539"/>
        <w:gridCol w:w="2820"/>
      </w:tblGrid>
      <w:tr>
        <w:trPr>
          <w:trHeight w:val="710" w:hRule="atLeast"/>
        </w:trPr>
        <w:tc>
          <w:tcPr>
            <w:tcW w:w="6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Вимоги до геометричної фігури</w:t>
            </w:r>
          </w:p>
        </w:tc>
        <w:tc>
          <w:tcPr>
            <w:tcW w:w="28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Оцінка</w:t>
            </w:r>
          </w:p>
        </w:tc>
      </w:tr>
      <w:tr>
        <w:trPr>
          <w:trHeight w:val="995" w:hRule="atLeast"/>
        </w:trPr>
        <w:tc>
          <w:tcPr>
            <w:tcW w:w="6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Геометрична модель, зроблена індивідуально, охайно, правильно зі скла, металу, дерева</w:t>
            </w:r>
          </w:p>
        </w:tc>
        <w:tc>
          <w:tcPr>
            <w:tcW w:w="282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Високий рівен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ь</w:t>
            </w:r>
          </w:p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10-12</w:t>
            </w:r>
          </w:p>
        </w:tc>
      </w:tr>
      <w:tr>
        <w:trPr>
          <w:trHeight w:val="995" w:hRule="atLeast"/>
        </w:trPr>
        <w:tc>
          <w:tcPr>
            <w:tcW w:w="6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Геометрична модель, зроблена охайно, правильно із паперових матеріалів</w:t>
            </w:r>
          </w:p>
        </w:tc>
        <w:tc>
          <w:tcPr>
            <w:tcW w:w="282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Достатній</w:t>
            </w:r>
          </w:p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8-9</w:t>
            </w:r>
          </w:p>
        </w:tc>
      </w:tr>
      <w:tr>
        <w:trPr>
          <w:trHeight w:val="995" w:hRule="atLeast"/>
        </w:trPr>
        <w:tc>
          <w:tcPr>
            <w:tcW w:w="6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Геометрична модель, зроблена охайно, правильно із підручних матеріалів</w:t>
            </w:r>
          </w:p>
        </w:tc>
        <w:tc>
          <w:tcPr>
            <w:tcW w:w="2820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</w:rPr>
              <w:t>Середній</w:t>
            </w:r>
          </w:p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6-7</w:t>
            </w:r>
          </w:p>
        </w:tc>
      </w:tr>
    </w:tbl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◦"/>
      <w:lvlJc w:val="left"/>
      <w:pPr>
        <w:ind w:left="1150" w:hanging="360"/>
      </w:pPr>
      <w:rPr>
        <w:rFonts w:ascii="Noto Sans Symbols" w:hAnsi="Noto Sans Symbols" w:cs="Noto Sans Symbols" w:hint="default"/>
        <w:sz w:val="28"/>
      </w:rPr>
    </w:lvl>
    <w:lvl w:ilvl="2">
      <w:start w:val="1"/>
      <w:numFmt w:val="bullet"/>
      <w:lvlText w:val="▪"/>
      <w:lvlJc w:val="left"/>
      <w:pPr>
        <w:ind w:left="1510" w:hanging="360"/>
      </w:pPr>
      <w:rPr>
        <w:rFonts w:ascii="Noto Sans Symbols" w:hAnsi="Noto Sans Symbols" w:cs="Noto Sans Symbols" w:hint="default"/>
        <w:sz w:val="28"/>
      </w:rPr>
    </w:lvl>
    <w:lvl w:ilvl="3">
      <w:start w:val="1"/>
      <w:numFmt w:val="bullet"/>
      <w:lvlText w:val="●"/>
      <w:lvlJc w:val="left"/>
      <w:pPr>
        <w:ind w:left="1870" w:hanging="360"/>
      </w:pPr>
      <w:rPr>
        <w:rFonts w:ascii="Noto Sans Symbols" w:hAnsi="Noto Sans Symbols" w:cs="Noto Sans Symbols" w:hint="default"/>
        <w:sz w:val="28"/>
      </w:rPr>
    </w:lvl>
    <w:lvl w:ilvl="4">
      <w:start w:val="1"/>
      <w:numFmt w:val="bullet"/>
      <w:lvlText w:val="◦"/>
      <w:lvlJc w:val="left"/>
      <w:pPr>
        <w:ind w:left="2230" w:hanging="360"/>
      </w:pPr>
      <w:rPr>
        <w:rFonts w:ascii="Noto Sans Symbols" w:hAnsi="Noto Sans Symbols" w:cs="Noto Sans Symbols" w:hint="default"/>
        <w:sz w:val="28"/>
      </w:rPr>
    </w:lvl>
    <w:lvl w:ilvl="5">
      <w:start w:val="1"/>
      <w:numFmt w:val="bullet"/>
      <w:lvlText w:val="▪"/>
      <w:lvlJc w:val="left"/>
      <w:pPr>
        <w:ind w:left="2590" w:hanging="360"/>
      </w:pPr>
      <w:rPr>
        <w:rFonts w:ascii="Noto Sans Symbols" w:hAnsi="Noto Sans Symbols" w:cs="Noto Sans Symbols" w:hint="default"/>
        <w:sz w:val="28"/>
      </w:rPr>
    </w:lvl>
    <w:lvl w:ilvl="6">
      <w:start w:val="1"/>
      <w:numFmt w:val="bullet"/>
      <w:lvlText w:val="●"/>
      <w:lvlJc w:val="left"/>
      <w:pPr>
        <w:ind w:left="2950" w:hanging="360"/>
      </w:pPr>
      <w:rPr>
        <w:rFonts w:ascii="Noto Sans Symbols" w:hAnsi="Noto Sans Symbols" w:cs="Noto Sans Symbols" w:hint="default"/>
        <w:sz w:val="28"/>
      </w:rPr>
    </w:lvl>
    <w:lvl w:ilvl="7">
      <w:start w:val="1"/>
      <w:numFmt w:val="bullet"/>
      <w:lvlText w:val="◦"/>
      <w:lvlJc w:val="left"/>
      <w:pPr>
        <w:ind w:left="3310" w:hanging="360"/>
      </w:pPr>
      <w:rPr>
        <w:rFonts w:ascii="Noto Sans Symbols" w:hAnsi="Noto Sans Symbols" w:cs="Noto Sans Symbols" w:hint="default"/>
        <w:sz w:val="28"/>
      </w:rPr>
    </w:lvl>
    <w:lvl w:ilvl="8">
      <w:start w:val="1"/>
      <w:numFmt w:val="bullet"/>
      <w:lvlText w:val="▪"/>
      <w:lvlJc w:val="left"/>
      <w:pPr>
        <w:ind w:left="3670" w:hanging="360"/>
      </w:pPr>
      <w:rPr>
        <w:rFonts w:ascii="Noto Sans Symbols" w:hAnsi="Noto Sans Symbols" w:cs="Noto Sans Symbols" w:hint="default"/>
        <w:sz w:val="28"/>
      </w:rPr>
    </w:lvl>
  </w:abstractNum>
  <w:abstractNum w:abstractNumId="2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◦"/>
      <w:lvlJc w:val="left"/>
      <w:pPr>
        <w:ind w:left="1306" w:hanging="360"/>
      </w:pPr>
      <w:rPr>
        <w:rFonts w:ascii="Noto Sans Symbols" w:hAnsi="Noto Sans Symbols" w:cs="Noto Sans Symbols" w:hint="default"/>
        <w:sz w:val="28"/>
      </w:rPr>
    </w:lvl>
    <w:lvl w:ilvl="2">
      <w:start w:val="1"/>
      <w:numFmt w:val="bullet"/>
      <w:lvlText w:val="▪"/>
      <w:lvlJc w:val="left"/>
      <w:pPr>
        <w:ind w:left="1666" w:hanging="360"/>
      </w:pPr>
      <w:rPr>
        <w:rFonts w:ascii="Noto Sans Symbols" w:hAnsi="Noto Sans Symbols" w:cs="Noto Sans Symbols" w:hint="default"/>
        <w:sz w:val="28"/>
      </w:rPr>
    </w:lvl>
    <w:lvl w:ilvl="3">
      <w:start w:val="1"/>
      <w:numFmt w:val="bullet"/>
      <w:lvlText w:val="●"/>
      <w:lvlJc w:val="left"/>
      <w:pPr>
        <w:ind w:left="2026" w:hanging="360"/>
      </w:pPr>
      <w:rPr>
        <w:rFonts w:ascii="Noto Sans Symbols" w:hAnsi="Noto Sans Symbols" w:cs="Noto Sans Symbols" w:hint="default"/>
        <w:sz w:val="28"/>
      </w:rPr>
    </w:lvl>
    <w:lvl w:ilvl="4">
      <w:start w:val="1"/>
      <w:numFmt w:val="bullet"/>
      <w:lvlText w:val="◦"/>
      <w:lvlJc w:val="left"/>
      <w:pPr>
        <w:ind w:left="2386" w:hanging="360"/>
      </w:pPr>
      <w:rPr>
        <w:rFonts w:ascii="Noto Sans Symbols" w:hAnsi="Noto Sans Symbols" w:cs="Noto Sans Symbols" w:hint="default"/>
        <w:sz w:val="28"/>
      </w:rPr>
    </w:lvl>
    <w:lvl w:ilvl="5">
      <w:start w:val="1"/>
      <w:numFmt w:val="bullet"/>
      <w:lvlText w:val="▪"/>
      <w:lvlJc w:val="left"/>
      <w:pPr>
        <w:ind w:left="2746" w:hanging="360"/>
      </w:pPr>
      <w:rPr>
        <w:rFonts w:ascii="Noto Sans Symbols" w:hAnsi="Noto Sans Symbols" w:cs="Noto Sans Symbols" w:hint="default"/>
        <w:sz w:val="28"/>
      </w:rPr>
    </w:lvl>
    <w:lvl w:ilvl="6">
      <w:start w:val="1"/>
      <w:numFmt w:val="bullet"/>
      <w:lvlText w:val="●"/>
      <w:lvlJc w:val="left"/>
      <w:pPr>
        <w:ind w:left="3106" w:hanging="360"/>
      </w:pPr>
      <w:rPr>
        <w:rFonts w:ascii="Noto Sans Symbols" w:hAnsi="Noto Sans Symbols" w:cs="Noto Sans Symbols" w:hint="default"/>
        <w:sz w:val="28"/>
      </w:rPr>
    </w:lvl>
    <w:lvl w:ilvl="7">
      <w:start w:val="1"/>
      <w:numFmt w:val="bullet"/>
      <w:lvlText w:val="◦"/>
      <w:lvlJc w:val="left"/>
      <w:pPr>
        <w:ind w:left="3466" w:hanging="360"/>
      </w:pPr>
      <w:rPr>
        <w:rFonts w:ascii="Noto Sans Symbols" w:hAnsi="Noto Sans Symbols" w:cs="Noto Sans Symbols" w:hint="default"/>
        <w:sz w:val="28"/>
      </w:rPr>
    </w:lvl>
    <w:lvl w:ilvl="8">
      <w:start w:val="1"/>
      <w:numFmt w:val="bullet"/>
      <w:lvlText w:val="▪"/>
      <w:lvlJc w:val="left"/>
      <w:pPr>
        <w:ind w:left="3826" w:hanging="360"/>
      </w:pPr>
      <w:rPr>
        <w:rFonts w:ascii="Noto Sans Symbols" w:hAnsi="Noto Sans Symbols" w:cs="Noto Sans Symbols" w:hint="default"/>
        <w:sz w:val="28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sz w:val="2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sz w:val="2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sz w:val="2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sz w:val="2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sz w:val="2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sz w:val="2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8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sz w:val="2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sz w:val="2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sz w:val="2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sz w:val="2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sz w:val="2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sz w:val="2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8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suppressAutoHyphens w:val="true"/>
      <w:spacing w:lineRule="auto" w:line="276"/>
    </w:pPr>
    <w:rPr>
      <w:rFonts w:ascii="Arial" w:hAnsi="Arial" w:eastAsia="Arial" w:cs="Arial"/>
      <w:color w:val="auto"/>
      <w:sz w:val="22"/>
      <w:szCs w:val="22"/>
      <w:lang w:val="ru" w:eastAsia="zh-CN" w:bidi="hi-IN"/>
    </w:rPr>
  </w:style>
  <w:style w:type="paragraph" w:styleId="1">
    <w:name w:val="Заголовок 1"/>
    <w:basedOn w:val="Normal1"/>
    <w:next w:val="Normal"/>
    <w:pPr>
      <w:keepNext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Заголовок 2"/>
    <w:basedOn w:val="Normal1"/>
    <w:next w:val="Normal"/>
    <w:pPr>
      <w:keepNext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Заголовок 3"/>
    <w:basedOn w:val="Normal1"/>
    <w:next w:val="Normal"/>
    <w:pPr>
      <w:keepNext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Заголовок 4"/>
    <w:basedOn w:val="Normal1"/>
    <w:next w:val="Normal"/>
    <w:pPr>
      <w:keepNext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Заголовок 5"/>
    <w:basedOn w:val="Normal1"/>
    <w:next w:val="Normal"/>
    <w:pPr>
      <w:keepNext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Заголовок 6"/>
    <w:basedOn w:val="Normal1"/>
    <w:next w:val="Normal"/>
    <w:pPr>
      <w:keepNext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rFonts w:ascii="Times New Roman" w:hAnsi="Times New Roman" w:eastAsia="Noto Sans Symbols" w:cs="Noto Sans Symbols"/>
      <w:sz w:val="28"/>
    </w:rPr>
  </w:style>
  <w:style w:type="paragraph" w:styleId="Style8">
    <w:name w:val="Заголовок"/>
    <w:basedOn w:val="Normal"/>
    <w:next w:val="Style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Основний текст"/>
    <w:basedOn w:val="Normal"/>
    <w:pPr>
      <w:spacing w:lineRule="auto" w:line="288" w:before="0" w:after="140"/>
    </w:pPr>
    <w:rPr/>
  </w:style>
  <w:style w:type="paragraph" w:styleId="Style10">
    <w:name w:val="Список"/>
    <w:basedOn w:val="Style9"/>
    <w:pPr/>
    <w:rPr>
      <w:rFonts w:cs="Mangal"/>
    </w:rPr>
  </w:style>
  <w:style w:type="paragraph" w:styleId="Style11">
    <w:name w:val="Розділ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ru" w:eastAsia="zh-CN" w:bidi="hi-IN"/>
    </w:rPr>
  </w:style>
  <w:style w:type="paragraph" w:styleId="Style13">
    <w:name w:val="Назва"/>
    <w:basedOn w:val="Normal1"/>
    <w:next w:val="Normal"/>
    <w:pPr>
      <w:keepNext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Підзаголовок"/>
    <w:basedOn w:val="Normal1"/>
    <w:next w:val="Normal"/>
    <w:pPr>
      <w:keepNext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uk-UA</dc:language>
  <dcterms:modified xsi:type="dcterms:W3CDTF">2024-02-29T17:57:14Z</dcterms:modified>
  <cp:revision>1</cp:revision>
</cp:coreProperties>
</file>